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left"/>
        <w:rPr>
          <w:rFonts w:eastAsia="方正小标宋简体"/>
          <w:sz w:val="44"/>
        </w:rPr>
      </w:pPr>
      <w:r>
        <w:rPr>
          <w:rFonts w:hint="eastAsia" w:ascii="宋体" w:hAnsi="宋体" w:eastAsia="宋体"/>
          <w:color w:val="000000"/>
          <w:sz w:val="36"/>
          <w:szCs w:val="36"/>
        </w:rPr>
        <w:t xml:space="preserve">附件1      </w:t>
      </w:r>
      <w:r>
        <w:rPr>
          <w:rFonts w:hint="eastAsia" w:eastAsia="方正小标宋简体"/>
          <w:sz w:val="44"/>
        </w:rPr>
        <w:t>四川省质量技术监督学校</w:t>
      </w:r>
    </w:p>
    <w:p>
      <w:pPr>
        <w:widowControl/>
        <w:adjustRightInd w:val="0"/>
        <w:snapToGrid w:val="0"/>
        <w:spacing w:line="600" w:lineRule="exact"/>
        <w:jc w:val="center"/>
        <w:rPr>
          <w:rFonts w:ascii="方正黑体简体" w:hAnsi="宋体" w:eastAsia="方正黑体简体"/>
          <w:color w:val="000000"/>
          <w:sz w:val="36"/>
          <w:szCs w:val="36"/>
        </w:rPr>
      </w:pPr>
      <w:r>
        <w:rPr>
          <w:rFonts w:hint="eastAsia" w:eastAsia="方正小标宋简体"/>
          <w:sz w:val="44"/>
        </w:rPr>
        <w:t>2018年图书馆图书采购要求</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一、技术参数及要求</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（一）项目需求</w:t>
      </w:r>
    </w:p>
    <w:tbl>
      <w:tblPr>
        <w:tblStyle w:val="8"/>
        <w:tblW w:w="8524" w:type="dxa"/>
        <w:jc w:val="center"/>
        <w:tblInd w:w="0" w:type="dxa"/>
        <w:tblLayout w:type="fixed"/>
        <w:tblCellMar>
          <w:top w:w="0" w:type="dxa"/>
          <w:left w:w="108" w:type="dxa"/>
          <w:bottom w:w="0" w:type="dxa"/>
          <w:right w:w="108" w:type="dxa"/>
        </w:tblCellMar>
      </w:tblPr>
      <w:tblGrid>
        <w:gridCol w:w="1074"/>
        <w:gridCol w:w="732"/>
        <w:gridCol w:w="843"/>
        <w:gridCol w:w="4369"/>
        <w:gridCol w:w="1506"/>
      </w:tblGrid>
      <w:tr>
        <w:tblPrEx>
          <w:tblLayout w:type="fixed"/>
          <w:tblCellMar>
            <w:top w:w="0" w:type="dxa"/>
            <w:left w:w="108" w:type="dxa"/>
            <w:bottom w:w="0" w:type="dxa"/>
            <w:right w:w="108" w:type="dxa"/>
          </w:tblCellMar>
        </w:tblPrEx>
        <w:trPr>
          <w:trHeight w:val="850" w:hRule="atLeast"/>
          <w:jc w:val="center"/>
        </w:trPr>
        <w:tc>
          <w:tcPr>
            <w:tcW w:w="1074" w:type="dxa"/>
            <w:tcBorders>
              <w:top w:val="single" w:color="auto" w:sz="4" w:space="0"/>
              <w:left w:val="single" w:color="auto" w:sz="4" w:space="0"/>
              <w:bottom w:val="single" w:color="000000" w:sz="4" w:space="0"/>
              <w:right w:val="single" w:color="auto"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项目名称</w:t>
            </w:r>
          </w:p>
        </w:tc>
        <w:tc>
          <w:tcPr>
            <w:tcW w:w="732" w:type="dxa"/>
            <w:tcBorders>
              <w:top w:val="single" w:color="auto" w:sz="4" w:space="0"/>
              <w:left w:val="single" w:color="auto" w:sz="4" w:space="0"/>
              <w:bottom w:val="single" w:color="000000" w:sz="4" w:space="0"/>
              <w:right w:val="single" w:color="auto"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单位</w:t>
            </w:r>
          </w:p>
        </w:tc>
        <w:tc>
          <w:tcPr>
            <w:tcW w:w="843" w:type="dxa"/>
            <w:tcBorders>
              <w:top w:val="single" w:color="auto" w:sz="4" w:space="0"/>
              <w:left w:val="single" w:color="auto" w:sz="4" w:space="0"/>
              <w:bottom w:val="single" w:color="000000" w:sz="4" w:space="0"/>
              <w:right w:val="single" w:color="auto"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数量</w:t>
            </w:r>
          </w:p>
        </w:tc>
        <w:tc>
          <w:tcPr>
            <w:tcW w:w="4369" w:type="dxa"/>
            <w:tcBorders>
              <w:top w:val="single" w:color="auto" w:sz="4" w:space="0"/>
              <w:left w:val="single" w:color="auto" w:sz="4" w:space="0"/>
              <w:bottom w:val="single" w:color="000000" w:sz="4" w:space="0"/>
              <w:right w:val="single" w:color="000000"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技术参数或规格型号</w:t>
            </w:r>
          </w:p>
        </w:tc>
        <w:tc>
          <w:tcPr>
            <w:tcW w:w="1506" w:type="dxa"/>
            <w:tcBorders>
              <w:top w:val="single" w:color="auto" w:sz="4" w:space="0"/>
              <w:left w:val="single" w:color="auto" w:sz="4" w:space="0"/>
              <w:bottom w:val="single" w:color="000000" w:sz="4" w:space="0"/>
              <w:right w:val="single" w:color="000000"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采购预算</w:t>
            </w:r>
          </w:p>
        </w:tc>
      </w:tr>
      <w:tr>
        <w:tblPrEx>
          <w:tblLayout w:type="fixed"/>
          <w:tblCellMar>
            <w:top w:w="0" w:type="dxa"/>
            <w:left w:w="108" w:type="dxa"/>
            <w:bottom w:w="0" w:type="dxa"/>
            <w:right w:w="108" w:type="dxa"/>
          </w:tblCellMar>
        </w:tblPrEx>
        <w:trPr>
          <w:trHeight w:val="810" w:hRule="atLeast"/>
          <w:jc w:val="center"/>
        </w:trPr>
        <w:tc>
          <w:tcPr>
            <w:tcW w:w="1074" w:type="dxa"/>
            <w:tcBorders>
              <w:top w:val="nil"/>
              <w:left w:val="single" w:color="auto" w:sz="4" w:space="0"/>
              <w:bottom w:val="single" w:color="000000" w:sz="4" w:space="0"/>
              <w:right w:val="single" w:color="auto"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图书</w:t>
            </w:r>
          </w:p>
        </w:tc>
        <w:tc>
          <w:tcPr>
            <w:tcW w:w="732" w:type="dxa"/>
            <w:tcBorders>
              <w:top w:val="nil"/>
              <w:left w:val="single" w:color="auto" w:sz="4" w:space="0"/>
              <w:bottom w:val="single" w:color="000000" w:sz="4" w:space="0"/>
              <w:right w:val="single" w:color="auto"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批</w:t>
            </w:r>
          </w:p>
        </w:tc>
        <w:tc>
          <w:tcPr>
            <w:tcW w:w="843" w:type="dxa"/>
            <w:tcBorders>
              <w:top w:val="nil"/>
              <w:left w:val="single" w:color="auto" w:sz="4" w:space="0"/>
              <w:bottom w:val="single" w:color="000000" w:sz="4" w:space="0"/>
              <w:right w:val="single" w:color="auto"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1</w:t>
            </w:r>
          </w:p>
        </w:tc>
        <w:tc>
          <w:tcPr>
            <w:tcW w:w="4369" w:type="dxa"/>
            <w:tcBorders>
              <w:top w:val="single" w:color="auto" w:sz="4" w:space="0"/>
              <w:left w:val="nil"/>
              <w:bottom w:val="single" w:color="auto" w:sz="4" w:space="0"/>
              <w:right w:val="single" w:color="000000"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本次采购图书包括专业类、文化类、科普类、综合类四大类图书，具体采购书目数量、标准、要求见《四川省质量技术监督学校图书采购分类比例及说明》。</w:t>
            </w:r>
          </w:p>
        </w:tc>
        <w:tc>
          <w:tcPr>
            <w:tcW w:w="1506" w:type="dxa"/>
            <w:tcBorders>
              <w:top w:val="single" w:color="auto" w:sz="4" w:space="0"/>
              <w:left w:val="nil"/>
              <w:bottom w:val="single" w:color="auto" w:sz="4" w:space="0"/>
              <w:right w:val="single" w:color="000000" w:sz="4" w:space="0"/>
            </w:tcBorders>
            <w:vAlign w:val="center"/>
          </w:tcPr>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30万元</w:t>
            </w:r>
          </w:p>
        </w:tc>
      </w:tr>
    </w:tbl>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（二）图书基本要求</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1.图书供应商提供的图书是经国家新闻署（局）批准发行的正式出版物，图书版本及进货渠道来源合法，无盗版、侵权和国家明令禁止的图书,否则采购人将拒付书款，终止合同，由供应商承担所有经济损失和法律责任。</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2.图书质量主要执行中华人民共和国GB9851、印刷行业GYZ-91标准，盗版、侵权由商家负全责等。</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3.所购的图书须符合以下印刷质量要求：</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（1）封面印刷：套印准确，字、图、点、线印迹清楚，不花，不毛不模糊，墨色均匀，无回胶印，背面不脏。</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（2）插图印刷：</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A.插印准确，层次分明，轮廓实。电分制版无浮雕印。</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B.网点清晰饱满，小点不秃，大点光洁不糊，质感好。</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C.墨色均匀厚实，色彩鲜艳有光泽，肤色正，接版准确，色调深浅一致。</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（3）正文印刷：</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A.压力：压力适度，全书前后轻重一致。</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B.墨色：全书前后墨色一致，浓淡适度。</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C.套印：版面端正，正反套印准确。</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D.文字：文字、标点清晰，笔锋挺秀，无缺笔断划，标题黑实不花，小字不糊不瞎。</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E.其它：书目无脏污、破损、无钉花、野墨。</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（4）装订：</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A.开本尺寸符合设计要求，套书规格一致，成品裁切方正，无明显刀花，无连接页、折角、破头。</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B.书背平整，无空背、起泡、明显皱纹，书脊字居中，封面齐色，边框要色页。</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C.全书页码折正，书面平服，无皱纹（八字折等）。</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D.骑马钉、平钉的钉脚不翘，无断丝，凸肚，钉距匀称，坚实牢固易翻不脱页。</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3、知识产权：投标人承诺全部图书不受到第三方关于侵犯版权、工艺、方案、技术资料、软件、商标、专利、外协产品等一切方面的指控。</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4.所供图书的出版日期应在2013年（含2013年）以后全新正版书籍）。图书包装用纸要有足够的厚度和韧性，包装应规范，以免运输过程中造成破损。图书供应商须以包为单位提供详细清单。</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5.图书供应商向采购人提供详细的图书采购数据。</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6.图书供应商对不符合质量要求的图书（如多卷书不齐、配盘书缺盘、错发、缺页、倒页、破损、不洁等）进行无条件调换或退货。</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7.图书供应商提供所供图书深加工配套服务（数据录入、加盖馆藏章、贴条形码、贴书标、分类、上架等项目加工服务（详细加工标准按需方要求）。</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8.采购人在收到图书供应商图书并完成合同后30个工作日内按正常财政支付程序支付货款。</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9.图书供应商须向采购人出具正式销售发票。</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（三）供货要求：供应商必须严格按照《四川省质量技术监督学校图书采购分类比例及说明》进行供货。</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二、样书要求</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1.供应商需根据《四川省质量技术监督学校图书采购分类比例及说明》要求提供样书，否则无效响应处理。严格按照采购方要求提供样书不少于30种。成交供应商所提供的样书将由采购人封存，若供应商成交后不能按样书质量供货，采购人将取消其中标资格，所造成的一切后果均由供应商负责；</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2.样品本身不能有可以识别供应商的任何标记，否则将被拒绝；</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3.递交样品地点: 峨眉山市银河街90号四川省质量技术监督学校教务处；</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4.递交时间: 开标当日同投标文件一并提交。</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三、评分标准</w:t>
      </w:r>
    </w:p>
    <w:p>
      <w:pPr>
        <w:pStyle w:val="2"/>
        <w:widowControl/>
        <w:spacing w:before="150" w:beforeAutospacing="0" w:after="0" w:afterAutospacing="0"/>
        <w:rPr>
          <w:rFonts w:ascii="方正仿宋简体" w:hAnsi="方正仿宋简体" w:eastAsia="方正仿宋简体" w:cs="方正仿宋简体"/>
          <w:b w:val="0"/>
          <w:bCs/>
          <w:sz w:val="32"/>
          <w:szCs w:val="32"/>
        </w:rPr>
      </w:pPr>
      <w:r>
        <w:rPr>
          <w:rFonts w:ascii="方正仿宋简体" w:hAnsi="方正仿宋简体" w:eastAsia="方正仿宋简体" w:cs="方正仿宋简体"/>
          <w:b w:val="0"/>
          <w:bCs/>
          <w:sz w:val="32"/>
          <w:szCs w:val="32"/>
        </w:rPr>
        <w:t>本次采用综合评分法，评分采用百分制，即满分为100分。根据实际采购项目情况，合理设置各项评审因素及其分值，按照统一标准对各投标人进行综合评审，综合得分最高者将成为中标候选人。</w:t>
      </w:r>
    </w:p>
    <w:p>
      <w:pPr>
        <w:pStyle w:val="3"/>
      </w:pPr>
    </w:p>
    <w:tbl>
      <w:tblPr>
        <w:tblStyle w:val="8"/>
        <w:tblW w:w="10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048"/>
        <w:gridCol w:w="7699"/>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844" w:type="dxa"/>
            <w:vAlign w:val="center"/>
          </w:tcPr>
          <w:p>
            <w:pPr>
              <w:ind w:left="180"/>
              <w:jc w:val="center"/>
              <w:rPr>
                <w:rFonts w:ascii="方正仿宋简体" w:hAnsi="宋体" w:eastAsia="方正仿宋简体" w:cs="宋体"/>
                <w:sz w:val="21"/>
                <w:szCs w:val="21"/>
              </w:rPr>
            </w:pPr>
          </w:p>
        </w:tc>
        <w:tc>
          <w:tcPr>
            <w:tcW w:w="1048" w:type="dxa"/>
            <w:vAlign w:val="center"/>
          </w:tcPr>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评议指标</w:t>
            </w:r>
          </w:p>
        </w:tc>
        <w:tc>
          <w:tcPr>
            <w:tcW w:w="7699" w:type="dxa"/>
            <w:vAlign w:val="center"/>
          </w:tcPr>
          <w:p>
            <w:pPr>
              <w:ind w:left="180"/>
              <w:jc w:val="center"/>
              <w:rPr>
                <w:rFonts w:ascii="方正仿宋简体" w:hAnsi="宋体" w:eastAsia="方正仿宋简体" w:cs="宋体"/>
                <w:sz w:val="21"/>
                <w:szCs w:val="21"/>
              </w:rPr>
            </w:pPr>
            <w:r>
              <w:rPr>
                <w:rFonts w:hint="eastAsia" w:ascii="方正仿宋简体" w:hAnsi="宋体" w:eastAsia="方正仿宋简体" w:cs="宋体"/>
                <w:sz w:val="21"/>
                <w:szCs w:val="21"/>
              </w:rPr>
              <w:t>评分细则</w:t>
            </w:r>
          </w:p>
        </w:tc>
        <w:tc>
          <w:tcPr>
            <w:tcW w:w="588" w:type="dxa"/>
            <w:vAlign w:val="center"/>
          </w:tcPr>
          <w:p>
            <w:pPr>
              <w:rPr>
                <w:rFonts w:ascii="方正仿宋简体" w:hAnsi="宋体" w:eastAsia="方正仿宋简体" w:cs="宋体"/>
                <w:sz w:val="21"/>
                <w:szCs w:val="21"/>
              </w:rPr>
            </w:pPr>
            <w:r>
              <w:rPr>
                <w:rFonts w:hint="eastAsia" w:ascii="方正仿宋简体" w:hAnsi="宋体" w:eastAsia="方正仿宋简体" w:cs="宋体"/>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844" w:type="dxa"/>
            <w:vAlign w:val="center"/>
          </w:tcPr>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报价</w:t>
            </w:r>
          </w:p>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（40分）</w:t>
            </w:r>
          </w:p>
        </w:tc>
        <w:tc>
          <w:tcPr>
            <w:tcW w:w="1048" w:type="dxa"/>
            <w:vAlign w:val="center"/>
          </w:tcPr>
          <w:p>
            <w:pPr>
              <w:spacing w:line="320" w:lineRule="exact"/>
              <w:ind w:left="180"/>
              <w:jc w:val="center"/>
              <w:rPr>
                <w:rFonts w:ascii="方正仿宋简体" w:hAnsi="宋体" w:eastAsia="方正仿宋简体" w:cs="宋体"/>
                <w:sz w:val="21"/>
                <w:szCs w:val="21"/>
              </w:rPr>
            </w:pPr>
            <w:r>
              <w:rPr>
                <w:rFonts w:hint="eastAsia" w:ascii="方正仿宋简体" w:hAnsi="宋体" w:eastAsia="方正仿宋简体" w:cs="宋体"/>
                <w:sz w:val="21"/>
                <w:szCs w:val="21"/>
              </w:rPr>
              <w:t>价格</w:t>
            </w:r>
          </w:p>
          <w:p>
            <w:pPr>
              <w:spacing w:line="320" w:lineRule="exact"/>
              <w:ind w:left="180"/>
              <w:jc w:val="center"/>
              <w:rPr>
                <w:rFonts w:ascii="方正仿宋简体" w:hAnsi="宋体" w:eastAsia="方正仿宋简体" w:cs="宋体"/>
                <w:sz w:val="21"/>
                <w:szCs w:val="21"/>
              </w:rPr>
            </w:pPr>
            <w:r>
              <w:rPr>
                <w:rFonts w:hint="eastAsia" w:ascii="方正仿宋简体" w:hAnsi="宋体" w:eastAsia="方正仿宋简体" w:cs="宋体"/>
                <w:sz w:val="21"/>
                <w:szCs w:val="21"/>
              </w:rPr>
              <w:t>得分</w:t>
            </w:r>
          </w:p>
        </w:tc>
        <w:tc>
          <w:tcPr>
            <w:tcW w:w="7699" w:type="dxa"/>
            <w:vAlign w:val="center"/>
          </w:tcPr>
          <w:p>
            <w:pPr>
              <w:widowControl/>
              <w:numPr>
                <w:ilvl w:val="0"/>
                <w:numId w:val="1"/>
              </w:numPr>
              <w:spacing w:line="320" w:lineRule="exact"/>
              <w:jc w:val="left"/>
              <w:rPr>
                <w:rFonts w:ascii="方正仿宋简体" w:hAnsi="宋体" w:eastAsia="方正仿宋简体" w:cs="宋体"/>
                <w:sz w:val="21"/>
                <w:szCs w:val="21"/>
              </w:rPr>
            </w:pPr>
            <w:r>
              <w:rPr>
                <w:rFonts w:hint="eastAsia" w:ascii="方正仿宋简体" w:hAnsi="宋体" w:eastAsia="方正仿宋简体" w:cs="宋体"/>
                <w:sz w:val="21"/>
                <w:szCs w:val="21"/>
              </w:rPr>
              <w:t>价格分采用低价优先法计算，即满足招标文件要求且折扣最低的投标报价为评标基准价，其价格分为满分。其他投标人的价格分统一按下列公式计算：投标报价得分=（评标基准价/投标报价）×40%×100；计算结果保留至小数点后两位。</w:t>
            </w:r>
          </w:p>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2.为了确保产品质量和供货能力，投标报价低于采购预算价的50%时须提供采购目录内所有出版社针对本项目的成本证明文件（不低于本项目涉及出版社的10%），否则将视为无效投标。</w:t>
            </w:r>
          </w:p>
        </w:tc>
        <w:tc>
          <w:tcPr>
            <w:tcW w:w="588" w:type="dxa"/>
            <w:vAlign w:val="center"/>
          </w:tcPr>
          <w:p>
            <w:pPr>
              <w:rPr>
                <w:rFonts w:ascii="方正仿宋简体" w:hAnsi="宋体" w:eastAsia="方正仿宋简体" w:cs="宋体"/>
                <w:sz w:val="21"/>
                <w:szCs w:val="21"/>
              </w:rPr>
            </w:pPr>
            <w:r>
              <w:rPr>
                <w:rFonts w:hint="eastAsia" w:ascii="方正仿宋简体" w:hAnsi="宋体" w:eastAsia="方正仿宋简体" w:cs="宋体"/>
                <w:sz w:val="21"/>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844" w:type="dxa"/>
            <w:vMerge w:val="restart"/>
            <w:vAlign w:val="center"/>
          </w:tcPr>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商务部分</w:t>
            </w:r>
          </w:p>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（30分）</w:t>
            </w:r>
          </w:p>
        </w:tc>
        <w:tc>
          <w:tcPr>
            <w:tcW w:w="1048" w:type="dxa"/>
            <w:vAlign w:val="center"/>
          </w:tcPr>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企业资质</w:t>
            </w:r>
          </w:p>
        </w:tc>
        <w:tc>
          <w:tcPr>
            <w:tcW w:w="7699" w:type="dxa"/>
            <w:vAlign w:val="center"/>
          </w:tcPr>
          <w:p>
            <w:pPr>
              <w:spacing w:line="320" w:lineRule="exact"/>
              <w:rPr>
                <w:rFonts w:ascii="方正仿宋简体" w:hAnsi="宋体" w:eastAsia="方正仿宋简体"/>
                <w:b/>
                <w:sz w:val="21"/>
                <w:szCs w:val="21"/>
              </w:rPr>
            </w:pPr>
            <w:r>
              <w:rPr>
                <w:rFonts w:hint="eastAsia" w:ascii="方正仿宋简体" w:hAnsi="宋体" w:eastAsia="方正仿宋简体" w:cs="宋体"/>
                <w:sz w:val="21"/>
                <w:szCs w:val="21"/>
              </w:rPr>
              <w:t>1、具有独立承担民事责任的能力；</w:t>
            </w:r>
          </w:p>
          <w:p>
            <w:pPr>
              <w:spacing w:line="320" w:lineRule="exact"/>
              <w:rPr>
                <w:rFonts w:ascii="方正仿宋简体" w:hAnsi="宋体" w:eastAsia="方正仿宋简体"/>
                <w:b/>
                <w:sz w:val="21"/>
                <w:szCs w:val="21"/>
              </w:rPr>
            </w:pPr>
            <w:r>
              <w:rPr>
                <w:rFonts w:hint="eastAsia" w:ascii="方正仿宋简体" w:hAnsi="宋体" w:eastAsia="方正仿宋简体" w:cs="宋体"/>
                <w:sz w:val="21"/>
                <w:szCs w:val="21"/>
              </w:rPr>
              <w:t>2、具有良好的商业信誉和健全的财务会计制度；</w:t>
            </w:r>
          </w:p>
          <w:p>
            <w:pPr>
              <w:spacing w:line="320" w:lineRule="exact"/>
              <w:rPr>
                <w:rFonts w:ascii="方正仿宋简体" w:hAnsi="宋体" w:eastAsia="方正仿宋简体"/>
                <w:b/>
                <w:sz w:val="21"/>
                <w:szCs w:val="21"/>
              </w:rPr>
            </w:pPr>
            <w:r>
              <w:rPr>
                <w:rFonts w:hint="eastAsia" w:ascii="方正仿宋简体" w:hAnsi="宋体" w:eastAsia="方正仿宋简体" w:cs="宋体"/>
                <w:sz w:val="21"/>
                <w:szCs w:val="21"/>
              </w:rPr>
              <w:t>3、具有履行合同所必须的设备和专业技术能力；</w:t>
            </w:r>
          </w:p>
          <w:p>
            <w:pPr>
              <w:spacing w:line="320" w:lineRule="exact"/>
              <w:rPr>
                <w:rFonts w:ascii="方正仿宋简体" w:hAnsi="宋体" w:eastAsia="方正仿宋简体"/>
                <w:b/>
                <w:sz w:val="21"/>
                <w:szCs w:val="21"/>
              </w:rPr>
            </w:pPr>
            <w:r>
              <w:rPr>
                <w:rFonts w:hint="eastAsia" w:ascii="方正仿宋简体" w:hAnsi="宋体" w:eastAsia="方正仿宋简体" w:cs="宋体"/>
                <w:sz w:val="21"/>
                <w:szCs w:val="21"/>
              </w:rPr>
              <w:t>4、具有依法缴纳税收和社会保障资金的良好记录；</w:t>
            </w:r>
          </w:p>
          <w:p>
            <w:pPr>
              <w:spacing w:line="320" w:lineRule="exact"/>
              <w:rPr>
                <w:rFonts w:ascii="方正仿宋简体" w:hAnsi="宋体" w:eastAsia="方正仿宋简体"/>
                <w:b/>
                <w:sz w:val="21"/>
                <w:szCs w:val="21"/>
              </w:rPr>
            </w:pPr>
            <w:r>
              <w:rPr>
                <w:rFonts w:hint="eastAsia" w:ascii="方正仿宋简体" w:hAnsi="宋体" w:eastAsia="方正仿宋简体" w:cs="宋体"/>
                <w:sz w:val="21"/>
                <w:szCs w:val="21"/>
              </w:rPr>
              <w:t>5、参加本次采购活动前三年内，在经营活动中没有重大违法违规记录；</w:t>
            </w:r>
          </w:p>
          <w:p>
            <w:pPr>
              <w:spacing w:line="320" w:lineRule="exact"/>
              <w:rPr>
                <w:rFonts w:ascii="方正仿宋简体" w:hAnsi="宋体" w:eastAsia="方正仿宋简体" w:cs="宋体"/>
                <w:color w:val="FF0000"/>
                <w:sz w:val="21"/>
                <w:szCs w:val="21"/>
              </w:rPr>
            </w:pPr>
            <w:r>
              <w:rPr>
                <w:rFonts w:hint="eastAsia" w:ascii="方正仿宋简体" w:hAnsi="宋体" w:eastAsia="方正仿宋简体" w:cs="宋体"/>
                <w:sz w:val="21"/>
                <w:szCs w:val="21"/>
              </w:rPr>
              <w:t>6、投标人具有中华人民共和国出版物经营许可证或图书批发发行许可证；</w:t>
            </w:r>
          </w:p>
        </w:tc>
        <w:tc>
          <w:tcPr>
            <w:tcW w:w="588" w:type="dxa"/>
            <w:vAlign w:val="center"/>
          </w:tcPr>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4" w:type="dxa"/>
            <w:vMerge w:val="continue"/>
            <w:vAlign w:val="center"/>
          </w:tcPr>
          <w:p>
            <w:pPr>
              <w:spacing w:line="320" w:lineRule="exact"/>
              <w:ind w:left="180"/>
              <w:jc w:val="center"/>
              <w:rPr>
                <w:rFonts w:ascii="方正仿宋简体" w:hAnsi="宋体" w:eastAsia="方正仿宋简体" w:cs="宋体"/>
                <w:sz w:val="21"/>
                <w:szCs w:val="21"/>
              </w:rPr>
            </w:pPr>
          </w:p>
        </w:tc>
        <w:tc>
          <w:tcPr>
            <w:tcW w:w="1048" w:type="dxa"/>
            <w:vAlign w:val="center"/>
          </w:tcPr>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企业业绩</w:t>
            </w:r>
          </w:p>
        </w:tc>
        <w:tc>
          <w:tcPr>
            <w:tcW w:w="7699" w:type="dxa"/>
            <w:vAlign w:val="center"/>
          </w:tcPr>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投标人提供学校图书采购项目履约经验证明，每有一个得2分，最多得10分。（提供项目中标公告网上截图，项目合同、中标通知书，原件备查）</w:t>
            </w:r>
          </w:p>
        </w:tc>
        <w:tc>
          <w:tcPr>
            <w:tcW w:w="588" w:type="dxa"/>
            <w:vAlign w:val="center"/>
          </w:tcPr>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844" w:type="dxa"/>
            <w:vMerge w:val="continue"/>
            <w:vAlign w:val="center"/>
          </w:tcPr>
          <w:p>
            <w:pPr>
              <w:spacing w:line="320" w:lineRule="exact"/>
              <w:ind w:left="180"/>
              <w:jc w:val="center"/>
              <w:rPr>
                <w:rFonts w:ascii="方正仿宋简体" w:hAnsi="宋体" w:eastAsia="方正仿宋简体" w:cs="宋体"/>
                <w:sz w:val="21"/>
                <w:szCs w:val="21"/>
              </w:rPr>
            </w:pPr>
          </w:p>
        </w:tc>
        <w:tc>
          <w:tcPr>
            <w:tcW w:w="1048" w:type="dxa"/>
            <w:vAlign w:val="center"/>
          </w:tcPr>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现采基地</w:t>
            </w:r>
          </w:p>
        </w:tc>
        <w:tc>
          <w:tcPr>
            <w:tcW w:w="7699" w:type="dxa"/>
            <w:vAlign w:val="center"/>
          </w:tcPr>
          <w:p>
            <w:pPr>
              <w:spacing w:line="320" w:lineRule="exact"/>
            </w:pPr>
            <w:r>
              <w:rPr>
                <w:rFonts w:hint="eastAsia" w:ascii="方正仿宋简体" w:hAnsi="宋体" w:eastAsia="方正仿宋简体" w:cs="宋体"/>
                <w:sz w:val="21"/>
                <w:szCs w:val="21"/>
              </w:rPr>
              <w:t>投标供应商在国内拥有一定规模的现采仓储场地得5分。</w:t>
            </w:r>
            <w:r>
              <w:rPr>
                <w:rFonts w:hint="eastAsia" w:ascii="方正仿宋简体" w:hAnsi="宋体" w:eastAsia="方正仿宋简体" w:cs="宋体"/>
                <w:b/>
                <w:bCs/>
                <w:sz w:val="21"/>
                <w:szCs w:val="21"/>
              </w:rPr>
              <w:t>评分依据：提供场地房产证明或租赁合同件，未提供或提供无效者不得分。</w:t>
            </w:r>
          </w:p>
        </w:tc>
        <w:tc>
          <w:tcPr>
            <w:tcW w:w="588" w:type="dxa"/>
            <w:vAlign w:val="center"/>
          </w:tcPr>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4" w:type="dxa"/>
            <w:vMerge w:val="restart"/>
            <w:vAlign w:val="center"/>
          </w:tcPr>
          <w:p>
            <w:pPr>
              <w:spacing w:line="320" w:lineRule="exact"/>
              <w:rPr>
                <w:rFonts w:ascii="方正仿宋简体" w:hAnsi="宋体" w:eastAsia="方正仿宋简体" w:cs="宋体"/>
                <w:sz w:val="21"/>
                <w:szCs w:val="21"/>
              </w:rPr>
            </w:pPr>
          </w:p>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技术部分</w:t>
            </w:r>
          </w:p>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（30分）</w:t>
            </w:r>
          </w:p>
        </w:tc>
        <w:tc>
          <w:tcPr>
            <w:tcW w:w="1048" w:type="dxa"/>
            <w:vAlign w:val="center"/>
          </w:tcPr>
          <w:p>
            <w:pPr>
              <w:spacing w:line="320" w:lineRule="exact"/>
              <w:jc w:val="center"/>
              <w:rPr>
                <w:rFonts w:ascii="方正仿宋简体" w:hAnsi="宋体" w:eastAsia="方正仿宋简体" w:cs="宋体"/>
                <w:sz w:val="21"/>
                <w:szCs w:val="21"/>
              </w:rPr>
            </w:pPr>
            <w:r>
              <w:rPr>
                <w:rFonts w:hint="eastAsia" w:ascii="方正仿宋简体" w:hAnsi="宋体" w:eastAsia="方正仿宋简体" w:cs="宋体"/>
                <w:sz w:val="21"/>
                <w:szCs w:val="21"/>
              </w:rPr>
              <w:t>投标样书</w:t>
            </w:r>
          </w:p>
        </w:tc>
        <w:tc>
          <w:tcPr>
            <w:tcW w:w="7699" w:type="dxa"/>
            <w:vAlign w:val="center"/>
          </w:tcPr>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1.为体现投标企业的供货能力，投标企业提供样书得5分。</w:t>
            </w:r>
          </w:p>
          <w:p>
            <w:pPr>
              <w:pStyle w:val="3"/>
              <w:spacing w:line="320" w:lineRule="exact"/>
              <w:rPr>
                <w:rFonts w:ascii="方正仿宋简体" w:hAnsi="宋体" w:eastAsia="方正仿宋简体" w:cs="宋体"/>
                <w:color w:val="FF0000"/>
                <w:szCs w:val="21"/>
              </w:rPr>
            </w:pPr>
            <w:r>
              <w:rPr>
                <w:rFonts w:hint="eastAsia" w:ascii="方正仿宋简体" w:hAnsi="宋体" w:eastAsia="方正仿宋简体" w:cs="宋体"/>
                <w:color w:val="000000"/>
                <w:szCs w:val="21"/>
              </w:rPr>
              <w:t>2.</w:t>
            </w:r>
            <w:r>
              <w:rPr>
                <w:rFonts w:hint="eastAsia" w:ascii="方正仿宋简体" w:hAnsi="宋体" w:eastAsia="方正仿宋简体" w:cs="宋体"/>
                <w:szCs w:val="21"/>
              </w:rPr>
              <w:t>提供样书适合学校</w:t>
            </w:r>
            <w:r>
              <w:rPr>
                <w:rFonts w:hint="eastAsia" w:ascii="方正仿宋简体" w:eastAsia="方正仿宋简体"/>
                <w:szCs w:val="21"/>
              </w:rPr>
              <w:t>图书采购分类比例</w:t>
            </w:r>
            <w:r>
              <w:rPr>
                <w:rFonts w:hint="eastAsia" w:ascii="方正仿宋简体" w:hAnsi="宋体" w:eastAsia="方正仿宋简体" w:cs="宋体"/>
                <w:szCs w:val="21"/>
              </w:rPr>
              <w:t>，</w:t>
            </w:r>
            <w:r>
              <w:rPr>
                <w:rFonts w:hint="eastAsia" w:ascii="方正仿宋简体" w:hAnsi="宋体" w:eastAsia="方正仿宋简体" w:cs="宋体"/>
                <w:color w:val="000000"/>
                <w:szCs w:val="21"/>
              </w:rPr>
              <w:t>样书须为正版图书，评委根据图书分类与适用范围以及图书质量等方面进行综合评比得5-10分。</w:t>
            </w:r>
          </w:p>
        </w:tc>
        <w:tc>
          <w:tcPr>
            <w:tcW w:w="588" w:type="dxa"/>
            <w:vAlign w:val="center"/>
          </w:tcPr>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844" w:type="dxa"/>
            <w:vMerge w:val="continue"/>
            <w:vAlign w:val="center"/>
          </w:tcPr>
          <w:p>
            <w:pPr>
              <w:spacing w:line="320" w:lineRule="exact"/>
              <w:jc w:val="center"/>
              <w:rPr>
                <w:rFonts w:ascii="方正仿宋简体" w:hAnsi="宋体" w:eastAsia="方正仿宋简体" w:cs="宋体"/>
                <w:sz w:val="21"/>
                <w:szCs w:val="21"/>
              </w:rPr>
            </w:pPr>
          </w:p>
        </w:tc>
        <w:tc>
          <w:tcPr>
            <w:tcW w:w="1048" w:type="dxa"/>
            <w:vAlign w:val="center"/>
          </w:tcPr>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供货质量及服务</w:t>
            </w:r>
          </w:p>
        </w:tc>
        <w:tc>
          <w:tcPr>
            <w:tcW w:w="7699" w:type="dxa"/>
            <w:vAlign w:val="center"/>
          </w:tcPr>
          <w:p>
            <w:pPr>
              <w:spacing w:line="320" w:lineRule="exact"/>
              <w:rPr>
                <w:rFonts w:ascii="方正仿宋简体" w:hAnsi="宋体" w:eastAsia="方正仿宋简体" w:cs="宋体"/>
                <w:sz w:val="21"/>
                <w:szCs w:val="21"/>
              </w:rPr>
            </w:pPr>
            <w:r>
              <w:rPr>
                <w:rFonts w:hint="eastAsia" w:ascii="方正仿宋简体" w:hAnsi="宋体" w:eastAsia="方正仿宋简体" w:cs="宋体"/>
                <w:color w:val="000000"/>
                <w:sz w:val="21"/>
                <w:szCs w:val="21"/>
              </w:rPr>
              <w:t>比较各投标人提供的图书加工服务承诺、图书供货质量保证措施、组织配送实施方案、质保期及优惠条件等科学性、合理性、可操作性、服务优化的可行性、惩罚责任承担等内容进行综合评审，由评委在1-12分之间打分。</w:t>
            </w:r>
          </w:p>
        </w:tc>
        <w:tc>
          <w:tcPr>
            <w:tcW w:w="588" w:type="dxa"/>
            <w:vAlign w:val="center"/>
          </w:tcPr>
          <w:p>
            <w:pPr>
              <w:pStyle w:val="3"/>
              <w:rPr>
                <w:rFonts w:ascii="方正仿宋简体" w:hAnsi="宋体" w:eastAsia="方正仿宋简体" w:cs="宋体"/>
                <w:szCs w:val="21"/>
              </w:rPr>
            </w:pPr>
          </w:p>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844" w:type="dxa"/>
            <w:vMerge w:val="continue"/>
            <w:vAlign w:val="center"/>
          </w:tcPr>
          <w:p>
            <w:pPr>
              <w:spacing w:line="320" w:lineRule="exact"/>
              <w:jc w:val="center"/>
              <w:rPr>
                <w:rFonts w:ascii="方正仿宋简体" w:hAnsi="宋体" w:eastAsia="方正仿宋简体" w:cs="宋体"/>
                <w:sz w:val="21"/>
                <w:szCs w:val="21"/>
              </w:rPr>
            </w:pPr>
          </w:p>
        </w:tc>
        <w:tc>
          <w:tcPr>
            <w:tcW w:w="1048" w:type="dxa"/>
            <w:vAlign w:val="center"/>
          </w:tcPr>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投标文件的规范性</w:t>
            </w:r>
          </w:p>
        </w:tc>
        <w:tc>
          <w:tcPr>
            <w:tcW w:w="7699" w:type="dxa"/>
            <w:vAlign w:val="center"/>
          </w:tcPr>
          <w:p>
            <w:pPr>
              <w:spacing w:line="320" w:lineRule="exact"/>
              <w:rPr>
                <w:rFonts w:ascii="方正仿宋简体" w:hAnsi="宋体" w:eastAsia="方正仿宋简体" w:cs="宋体"/>
                <w:sz w:val="21"/>
                <w:szCs w:val="21"/>
              </w:rPr>
            </w:pPr>
            <w:r>
              <w:rPr>
                <w:rFonts w:hint="eastAsia" w:ascii="方正仿宋简体" w:hAnsi="宋体" w:eastAsia="方正仿宋简体" w:cs="宋体"/>
                <w:sz w:val="21"/>
                <w:szCs w:val="21"/>
              </w:rPr>
              <w:t>标书制作体例合理规范、提供资料齐全，文件清晰、方便评比。由评委在0-3分之间打分。（满分3分）。</w:t>
            </w:r>
          </w:p>
          <w:p>
            <w:pPr>
              <w:spacing w:line="320" w:lineRule="exact"/>
              <w:rPr>
                <w:rFonts w:ascii="方正仿宋简体" w:hAnsi="宋体" w:eastAsia="方正仿宋简体" w:cs="宋体"/>
                <w:sz w:val="21"/>
                <w:szCs w:val="21"/>
              </w:rPr>
            </w:pPr>
          </w:p>
        </w:tc>
        <w:tc>
          <w:tcPr>
            <w:tcW w:w="588" w:type="dxa"/>
            <w:vAlign w:val="center"/>
          </w:tcPr>
          <w:p>
            <w:pPr>
              <w:jc w:val="center"/>
              <w:rPr>
                <w:rFonts w:ascii="方正仿宋简体" w:hAnsi="宋体" w:eastAsia="方正仿宋简体" w:cs="宋体"/>
                <w:sz w:val="21"/>
                <w:szCs w:val="21"/>
              </w:rPr>
            </w:pPr>
            <w:r>
              <w:rPr>
                <w:rFonts w:hint="eastAsia" w:ascii="方正仿宋简体" w:hAnsi="宋体" w:eastAsia="方正仿宋简体" w:cs="宋体"/>
                <w:sz w:val="21"/>
                <w:szCs w:val="21"/>
              </w:rPr>
              <w:t>3分</w:t>
            </w:r>
          </w:p>
        </w:tc>
      </w:tr>
    </w:tbl>
    <w:p>
      <w:pPr>
        <w:spacing w:line="460" w:lineRule="exact"/>
        <w:rPr>
          <w:rFonts w:ascii="方正仿宋简体" w:hAnsi="宋体" w:eastAsia="方正仿宋简体" w:cs="宋体"/>
          <w:b/>
          <w:szCs w:val="32"/>
        </w:rPr>
      </w:pPr>
      <w:r>
        <w:rPr>
          <w:rFonts w:hint="eastAsia" w:ascii="方正仿宋简体" w:hAnsi="宋体" w:eastAsia="方正仿宋简体" w:cs="宋体"/>
          <w:b/>
          <w:szCs w:val="32"/>
        </w:rPr>
        <w:t>以上所有资质证件需提供原件备查核验 ，如发现虚假，做废标处理并提交至相关部门备档。</w:t>
      </w:r>
    </w:p>
    <w:p>
      <w:pPr>
        <w:pStyle w:val="3"/>
        <w:rPr>
          <w:rFonts w:ascii="方正仿宋简体" w:hAnsi="宋体" w:eastAsia="方正仿宋简体" w:cs="宋体"/>
          <w:color w:val="000000"/>
          <w:szCs w:val="21"/>
        </w:rPr>
      </w:pPr>
    </w:p>
    <w:p>
      <w:pPr>
        <w:jc w:val="center"/>
        <w:rPr>
          <w:rFonts w:hint="eastAsia" w:ascii="方正黑体简体" w:eastAsia="方正黑体简体"/>
        </w:rPr>
      </w:pPr>
    </w:p>
    <w:p>
      <w:pPr>
        <w:jc w:val="center"/>
        <w:rPr>
          <w:rFonts w:hint="eastAsia" w:ascii="方正黑体简体" w:eastAsia="方正黑体简体"/>
        </w:rPr>
      </w:pPr>
      <w:r>
        <w:rPr>
          <w:rFonts w:hint="eastAsia" w:ascii="方正黑体简体" w:eastAsia="方正黑体简体"/>
        </w:rPr>
        <w:t>《四川省质量技术监督学校图书采购分类比例及说明》</w:t>
      </w:r>
    </w:p>
    <w:p>
      <w:pPr>
        <w:jc w:val="center"/>
        <w:rPr>
          <w:rFonts w:ascii="方正黑体简体" w:eastAsia="方正黑体简体"/>
        </w:rPr>
      </w:pPr>
    </w:p>
    <w:tbl>
      <w:tblPr>
        <w:tblStyle w:val="8"/>
        <w:tblW w:w="8545" w:type="dxa"/>
        <w:tblInd w:w="93" w:type="dxa"/>
        <w:tblLayout w:type="fixed"/>
        <w:tblCellMar>
          <w:top w:w="0" w:type="dxa"/>
          <w:left w:w="108" w:type="dxa"/>
          <w:bottom w:w="0" w:type="dxa"/>
          <w:right w:w="108" w:type="dxa"/>
        </w:tblCellMar>
      </w:tblPr>
      <w:tblGrid>
        <w:gridCol w:w="1719"/>
        <w:gridCol w:w="1400"/>
        <w:gridCol w:w="5426"/>
      </w:tblGrid>
      <w:tr>
        <w:tblPrEx>
          <w:tblLayout w:type="fixed"/>
          <w:tblCellMar>
            <w:top w:w="0" w:type="dxa"/>
            <w:left w:w="108" w:type="dxa"/>
            <w:bottom w:w="0" w:type="dxa"/>
            <w:right w:w="108" w:type="dxa"/>
          </w:tblCellMar>
        </w:tblPrEx>
        <w:trPr>
          <w:trHeight w:val="353" w:hRule="atLeast"/>
        </w:trPr>
        <w:tc>
          <w:tcPr>
            <w:tcW w:w="1719" w:type="dxa"/>
            <w:tcBorders>
              <w:top w:val="single" w:color="auto" w:sz="4" w:space="0"/>
              <w:left w:val="single" w:color="auto" w:sz="4" w:space="0"/>
              <w:bottom w:val="single" w:color="auto" w:sz="4" w:space="0"/>
              <w:right w:val="single" w:color="auto" w:sz="4" w:space="0"/>
            </w:tcBorders>
            <w:vAlign w:val="top"/>
          </w:tcPr>
          <w:p>
            <w:pPr>
              <w:jc w:val="center"/>
              <w:rPr>
                <w:rFonts w:ascii="方正黑体简体" w:hAnsi="宋体" w:eastAsia="方正黑体简体" w:cs="Tahoma"/>
                <w:color w:val="000000"/>
                <w:sz w:val="24"/>
              </w:rPr>
            </w:pPr>
            <w:r>
              <w:rPr>
                <w:rFonts w:hint="eastAsia" w:ascii="方正黑体简体" w:hAnsi="宋体" w:eastAsia="方正黑体简体" w:cs="Tahoma"/>
                <w:color w:val="000000"/>
                <w:sz w:val="24"/>
              </w:rPr>
              <w:t>图书分类</w:t>
            </w:r>
          </w:p>
        </w:tc>
        <w:tc>
          <w:tcPr>
            <w:tcW w:w="1400" w:type="dxa"/>
            <w:tcBorders>
              <w:top w:val="single" w:color="auto" w:sz="4" w:space="0"/>
              <w:left w:val="nil"/>
              <w:bottom w:val="single" w:color="auto" w:sz="4" w:space="0"/>
              <w:right w:val="single" w:color="auto" w:sz="4" w:space="0"/>
            </w:tcBorders>
            <w:vAlign w:val="top"/>
          </w:tcPr>
          <w:p>
            <w:pPr>
              <w:jc w:val="center"/>
              <w:rPr>
                <w:rFonts w:ascii="方正黑体简体" w:hAnsi="宋体" w:eastAsia="方正黑体简体" w:cs="Tahoma"/>
                <w:color w:val="000000"/>
                <w:sz w:val="24"/>
              </w:rPr>
            </w:pPr>
            <w:r>
              <w:rPr>
                <w:rFonts w:hint="eastAsia" w:ascii="方正黑体简体" w:hAnsi="宋体" w:eastAsia="方正黑体简体" w:cs="Tahoma"/>
                <w:color w:val="000000"/>
                <w:sz w:val="24"/>
              </w:rPr>
              <w:t>采购比例</w:t>
            </w:r>
          </w:p>
        </w:tc>
        <w:tc>
          <w:tcPr>
            <w:tcW w:w="5426" w:type="dxa"/>
            <w:tcBorders>
              <w:top w:val="single" w:color="auto" w:sz="4" w:space="0"/>
              <w:left w:val="nil"/>
              <w:bottom w:val="single" w:color="auto" w:sz="4" w:space="0"/>
              <w:right w:val="single" w:color="auto" w:sz="4" w:space="0"/>
            </w:tcBorders>
            <w:vAlign w:val="center"/>
          </w:tcPr>
          <w:p>
            <w:pPr>
              <w:jc w:val="center"/>
              <w:rPr>
                <w:rFonts w:ascii="方正黑体简体" w:hAnsi="宋体" w:eastAsia="方正黑体简体" w:cs="Tahoma"/>
                <w:color w:val="000000"/>
              </w:rPr>
            </w:pPr>
            <w:r>
              <w:rPr>
                <w:rFonts w:hint="eastAsia" w:ascii="方正黑体简体" w:hAnsi="宋体" w:eastAsia="方正黑体简体" w:cs="Tahoma"/>
                <w:color w:val="000000"/>
              </w:rPr>
              <w:t>说明</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A-E</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10%</w:t>
            </w:r>
          </w:p>
        </w:tc>
        <w:tc>
          <w:tcPr>
            <w:tcW w:w="5426" w:type="dxa"/>
            <w:tcBorders>
              <w:top w:val="nil"/>
              <w:left w:val="nil"/>
              <w:bottom w:val="single" w:color="auto" w:sz="4" w:space="0"/>
              <w:right w:val="single" w:color="auto" w:sz="4" w:space="0"/>
            </w:tcBorders>
            <w:vAlign w:val="center"/>
          </w:tcPr>
          <w:p>
            <w:pPr>
              <w:rPr>
                <w:rFonts w:ascii="方正仿宋简体" w:eastAsia="方正仿宋简体" w:cs="Tahoma"/>
                <w:color w:val="000000"/>
              </w:rPr>
            </w:pPr>
            <w:r>
              <w:rPr>
                <w:rFonts w:hint="eastAsia" w:ascii="方正仿宋简体" w:hAnsi="宋体" w:eastAsia="方正仿宋简体" w:cs="Tahoma"/>
                <w:color w:val="000000"/>
              </w:rPr>
              <w:t>主要</w:t>
            </w:r>
            <w:r>
              <w:rPr>
                <w:rFonts w:hint="eastAsia" w:ascii="方正仿宋简体" w:eastAsia="方正仿宋简体" w:cs="Tahoma"/>
                <w:color w:val="000000"/>
              </w:rPr>
              <w:t>适用于职业院校师生</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F:经济</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10%</w:t>
            </w:r>
          </w:p>
        </w:tc>
        <w:tc>
          <w:tcPr>
            <w:tcW w:w="5426" w:type="dxa"/>
            <w:tcBorders>
              <w:top w:val="nil"/>
              <w:left w:val="nil"/>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主要适用于学校会计、管理等专业</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G:文教体育</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5%</w:t>
            </w:r>
          </w:p>
        </w:tc>
        <w:tc>
          <w:tcPr>
            <w:tcW w:w="5426" w:type="dxa"/>
            <w:tcBorders>
              <w:top w:val="nil"/>
              <w:left w:val="nil"/>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主要适用与学校教师与教学工作</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I:文学</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20%</w:t>
            </w:r>
          </w:p>
        </w:tc>
        <w:tc>
          <w:tcPr>
            <w:tcW w:w="5426" w:type="dxa"/>
            <w:tcBorders>
              <w:top w:val="nil"/>
              <w:left w:val="nil"/>
              <w:bottom w:val="single" w:color="auto" w:sz="4" w:space="0"/>
              <w:right w:val="single" w:color="auto" w:sz="4" w:space="0"/>
            </w:tcBorders>
            <w:vAlign w:val="center"/>
          </w:tcPr>
          <w:p>
            <w:pPr>
              <w:rPr>
                <w:rFonts w:ascii="方正仿宋简体" w:eastAsia="方正仿宋简体" w:cs="Tahoma"/>
                <w:color w:val="000000"/>
              </w:rPr>
            </w:pPr>
            <w:r>
              <w:rPr>
                <w:rFonts w:hint="eastAsia" w:ascii="方正仿宋简体" w:hAnsi="宋体" w:eastAsia="方正仿宋简体" w:cs="Tahoma"/>
                <w:color w:val="000000"/>
              </w:rPr>
              <w:t>主要</w:t>
            </w:r>
            <w:r>
              <w:rPr>
                <w:rFonts w:hint="eastAsia" w:ascii="方正仿宋简体" w:eastAsia="方正仿宋简体" w:cs="Tahoma"/>
                <w:color w:val="000000"/>
              </w:rPr>
              <w:t>适用于职业院校师生</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J:艺术</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5%</w:t>
            </w:r>
          </w:p>
        </w:tc>
        <w:tc>
          <w:tcPr>
            <w:tcW w:w="5426" w:type="dxa"/>
            <w:tcBorders>
              <w:top w:val="nil"/>
              <w:left w:val="nil"/>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主要适用于学校德育、美育工作</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K:历史地理</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5%</w:t>
            </w:r>
          </w:p>
        </w:tc>
        <w:tc>
          <w:tcPr>
            <w:tcW w:w="5426" w:type="dxa"/>
            <w:tcBorders>
              <w:top w:val="nil"/>
              <w:left w:val="nil"/>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主要适用于学校旅游服务等专业</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R:医药卫生</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15%</w:t>
            </w:r>
          </w:p>
        </w:tc>
        <w:tc>
          <w:tcPr>
            <w:tcW w:w="5426" w:type="dxa"/>
            <w:tcBorders>
              <w:top w:val="nil"/>
              <w:left w:val="nil"/>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主要适用于学校护理、康复等专业</w:t>
            </w:r>
          </w:p>
        </w:tc>
      </w:tr>
      <w:tr>
        <w:tblPrEx>
          <w:tblLayout w:type="fixed"/>
          <w:tblCellMar>
            <w:top w:w="0" w:type="dxa"/>
            <w:left w:w="108" w:type="dxa"/>
            <w:bottom w:w="0" w:type="dxa"/>
            <w:right w:w="108" w:type="dxa"/>
          </w:tblCellMar>
        </w:tblPrEx>
        <w:trPr>
          <w:trHeight w:val="987"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T:工业技术</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20%</w:t>
            </w:r>
          </w:p>
        </w:tc>
        <w:tc>
          <w:tcPr>
            <w:tcW w:w="5426" w:type="dxa"/>
            <w:tcBorders>
              <w:top w:val="nil"/>
              <w:left w:val="nil"/>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主要适用学校产品质量检验专业，涉及计量、化工、食品、机电、电梯，必须要有中国质检出版社书籍</w:t>
            </w:r>
          </w:p>
        </w:tc>
      </w:tr>
      <w:tr>
        <w:tblPrEx>
          <w:tblLayout w:type="fixed"/>
          <w:tblCellMar>
            <w:top w:w="0" w:type="dxa"/>
            <w:left w:w="108" w:type="dxa"/>
            <w:bottom w:w="0" w:type="dxa"/>
            <w:right w:w="108" w:type="dxa"/>
          </w:tblCellMar>
        </w:tblPrEx>
        <w:trPr>
          <w:trHeight w:val="353" w:hRule="atLeast"/>
        </w:trPr>
        <w:tc>
          <w:tcPr>
            <w:tcW w:w="1719" w:type="dxa"/>
            <w:tcBorders>
              <w:top w:val="nil"/>
              <w:left w:val="single" w:color="auto" w:sz="4" w:space="0"/>
              <w:bottom w:val="single" w:color="auto" w:sz="4" w:space="0"/>
              <w:right w:val="single" w:color="auto" w:sz="4" w:space="0"/>
            </w:tcBorders>
            <w:vAlign w:val="top"/>
          </w:tcPr>
          <w:p>
            <w:pPr>
              <w:rPr>
                <w:rFonts w:ascii="方正仿宋简体" w:hAnsi="宋体" w:eastAsia="方正仿宋简体" w:cs="Tahoma"/>
                <w:color w:val="000000"/>
                <w:sz w:val="24"/>
              </w:rPr>
            </w:pPr>
            <w:r>
              <w:rPr>
                <w:rFonts w:hint="eastAsia" w:ascii="方正仿宋简体" w:hAnsi="宋体" w:eastAsia="方正仿宋简体" w:cs="Tahoma"/>
                <w:color w:val="000000"/>
                <w:sz w:val="24"/>
              </w:rPr>
              <w:t>其它类</w:t>
            </w:r>
          </w:p>
        </w:tc>
        <w:tc>
          <w:tcPr>
            <w:tcW w:w="1400" w:type="dxa"/>
            <w:tcBorders>
              <w:top w:val="nil"/>
              <w:left w:val="nil"/>
              <w:bottom w:val="single" w:color="auto" w:sz="4" w:space="0"/>
              <w:right w:val="single" w:color="auto" w:sz="4" w:space="0"/>
            </w:tcBorders>
            <w:vAlign w:val="top"/>
          </w:tcPr>
          <w:p>
            <w:pPr>
              <w:jc w:val="center"/>
              <w:rPr>
                <w:rFonts w:ascii="方正仿宋简体" w:hAnsi="宋体" w:eastAsia="方正仿宋简体" w:cs="Tahoma"/>
                <w:color w:val="000000"/>
                <w:sz w:val="24"/>
              </w:rPr>
            </w:pPr>
            <w:r>
              <w:rPr>
                <w:rFonts w:hint="eastAsia" w:ascii="方正仿宋简体" w:hAnsi="宋体" w:eastAsia="方正仿宋简体" w:cs="Tahoma"/>
                <w:color w:val="000000"/>
                <w:sz w:val="24"/>
              </w:rPr>
              <w:t>10%</w:t>
            </w:r>
          </w:p>
        </w:tc>
        <w:tc>
          <w:tcPr>
            <w:tcW w:w="5426" w:type="dxa"/>
            <w:tcBorders>
              <w:top w:val="nil"/>
              <w:left w:val="nil"/>
              <w:bottom w:val="single" w:color="auto" w:sz="4" w:space="0"/>
              <w:right w:val="single" w:color="auto" w:sz="4" w:space="0"/>
            </w:tcBorders>
            <w:vAlign w:val="center"/>
          </w:tcPr>
          <w:p>
            <w:pPr>
              <w:rPr>
                <w:rFonts w:ascii="方正仿宋简体" w:eastAsia="方正仿宋简体" w:cs="Tahoma"/>
                <w:color w:val="000000"/>
              </w:rPr>
            </w:pPr>
            <w:r>
              <w:rPr>
                <w:rFonts w:hint="eastAsia" w:ascii="方正仿宋简体" w:hAnsi="宋体" w:eastAsia="方正仿宋简体" w:cs="Tahoma"/>
                <w:color w:val="000000"/>
              </w:rPr>
              <w:t>主要</w:t>
            </w:r>
            <w:r>
              <w:rPr>
                <w:rFonts w:hint="eastAsia" w:ascii="方正仿宋简体" w:eastAsia="方正仿宋简体" w:cs="Tahoma"/>
                <w:color w:val="000000"/>
              </w:rPr>
              <w:t>适用于职业院校师生</w:t>
            </w:r>
          </w:p>
        </w:tc>
      </w:tr>
      <w:tr>
        <w:tblPrEx>
          <w:tblLayout w:type="fixed"/>
          <w:tblCellMar>
            <w:top w:w="0" w:type="dxa"/>
            <w:left w:w="108" w:type="dxa"/>
            <w:bottom w:w="0" w:type="dxa"/>
            <w:right w:w="108" w:type="dxa"/>
          </w:tblCellMar>
        </w:tblPrEx>
        <w:trPr>
          <w:trHeight w:val="334" w:hRule="atLeast"/>
        </w:trPr>
        <w:tc>
          <w:tcPr>
            <w:tcW w:w="1719" w:type="dxa"/>
            <w:tcBorders>
              <w:top w:val="nil"/>
              <w:left w:val="single" w:color="auto" w:sz="4" w:space="0"/>
              <w:bottom w:val="single" w:color="auto" w:sz="4" w:space="0"/>
              <w:right w:val="single" w:color="auto" w:sz="4" w:space="0"/>
            </w:tcBorders>
            <w:vAlign w:val="center"/>
          </w:tcPr>
          <w:p>
            <w:pPr>
              <w:rPr>
                <w:rFonts w:ascii="方正仿宋简体" w:hAnsi="宋体" w:eastAsia="方正仿宋简体" w:cs="Tahoma"/>
                <w:color w:val="000000"/>
              </w:rPr>
            </w:pPr>
            <w:r>
              <w:rPr>
                <w:rFonts w:hint="eastAsia" w:ascii="方正仿宋简体" w:hAnsi="宋体" w:eastAsia="方正仿宋简体" w:cs="Tahoma"/>
                <w:color w:val="000000"/>
              </w:rPr>
              <w:t>合计</w:t>
            </w:r>
          </w:p>
        </w:tc>
        <w:tc>
          <w:tcPr>
            <w:tcW w:w="1400" w:type="dxa"/>
            <w:tcBorders>
              <w:top w:val="nil"/>
              <w:left w:val="nil"/>
              <w:bottom w:val="single" w:color="auto" w:sz="4" w:space="0"/>
              <w:right w:val="single" w:color="auto" w:sz="4" w:space="0"/>
            </w:tcBorders>
            <w:vAlign w:val="center"/>
          </w:tcPr>
          <w:p>
            <w:pPr>
              <w:ind w:right="220"/>
              <w:jc w:val="right"/>
              <w:rPr>
                <w:rFonts w:ascii="方正仿宋简体" w:eastAsia="方正仿宋简体" w:cs="Tahoma"/>
                <w:color w:val="000000"/>
              </w:rPr>
            </w:pPr>
            <w:r>
              <w:rPr>
                <w:rFonts w:hint="eastAsia" w:ascii="方正仿宋简体" w:eastAsia="方正仿宋简体" w:cs="Tahoma"/>
                <w:color w:val="000000"/>
              </w:rPr>
              <w:t>100%</w:t>
            </w:r>
          </w:p>
        </w:tc>
        <w:tc>
          <w:tcPr>
            <w:tcW w:w="5426" w:type="dxa"/>
            <w:tcBorders>
              <w:top w:val="nil"/>
              <w:left w:val="nil"/>
              <w:bottom w:val="single" w:color="auto" w:sz="4" w:space="0"/>
              <w:right w:val="single" w:color="auto" w:sz="4" w:space="0"/>
            </w:tcBorders>
            <w:vAlign w:val="center"/>
          </w:tcPr>
          <w:p>
            <w:pPr>
              <w:rPr>
                <w:rFonts w:ascii="方正仿宋简体" w:eastAsia="方正仿宋简体" w:cs="Tahoma"/>
                <w:color w:val="000000"/>
              </w:rPr>
            </w:pPr>
            <w:r>
              <w:rPr>
                <w:rFonts w:hint="eastAsia" w:ascii="方正仿宋简体" w:eastAsia="方正仿宋简体" w:cs="Tahoma"/>
                <w:color w:val="000000"/>
              </w:rPr>
              <w:t>　</w:t>
            </w:r>
          </w:p>
        </w:tc>
      </w:tr>
    </w:tbl>
    <w:p>
      <w:pPr>
        <w:jc w:val="center"/>
      </w:pPr>
    </w:p>
    <w:p>
      <w:bookmarkStart w:id="0" w:name="_GoBack"/>
      <w:bookmarkEnd w:id="0"/>
    </w:p>
    <w:sectPr>
      <w:headerReference r:id="rId3" w:type="default"/>
      <w:footerReference r:id="rId4" w:type="default"/>
      <w:footerReference r:id="rId5" w:type="even"/>
      <w:pgSz w:w="11906" w:h="16838"/>
      <w:pgMar w:top="1985" w:right="1418" w:bottom="1474" w:left="1418" w:header="851" w:footer="1021" w:gutter="0"/>
      <w:cols w:space="720"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方正仿宋简体" w:eastAsia="方正仿宋简体"/>
        <w:sz w:val="24"/>
        <w:szCs w:val="24"/>
      </w:rPr>
    </w:pPr>
    <w:r>
      <w:rPr>
        <w:rStyle w:val="7"/>
        <w:rFonts w:ascii="方正仿宋简体" w:eastAsia="方正仿宋简体"/>
        <w:sz w:val="24"/>
        <w:szCs w:val="24"/>
      </w:rPr>
      <w:t xml:space="preserve">— </w:t>
    </w:r>
    <w:r>
      <w:rPr>
        <w:rFonts w:ascii="方正仿宋简体" w:eastAsia="方正仿宋简体"/>
        <w:sz w:val="24"/>
        <w:szCs w:val="24"/>
      </w:rPr>
      <w:fldChar w:fldCharType="begin"/>
    </w:r>
    <w:r>
      <w:rPr>
        <w:rStyle w:val="7"/>
        <w:rFonts w:ascii="方正仿宋简体" w:eastAsia="方正仿宋简体"/>
        <w:sz w:val="24"/>
        <w:szCs w:val="24"/>
      </w:rPr>
      <w:instrText xml:space="preserve">PAGE  </w:instrText>
    </w:r>
    <w:r>
      <w:rPr>
        <w:rFonts w:ascii="方正仿宋简体" w:eastAsia="方正仿宋简体"/>
        <w:sz w:val="24"/>
        <w:szCs w:val="24"/>
      </w:rPr>
      <w:fldChar w:fldCharType="separate"/>
    </w:r>
    <w:r>
      <w:rPr>
        <w:rStyle w:val="7"/>
        <w:rFonts w:ascii="方正仿宋简体" w:eastAsia="方正仿宋简体"/>
        <w:sz w:val="24"/>
        <w:szCs w:val="24"/>
      </w:rPr>
      <w:t>2</w:t>
    </w:r>
    <w:r>
      <w:rPr>
        <w:rFonts w:ascii="方正仿宋简体" w:eastAsia="方正仿宋简体"/>
        <w:sz w:val="24"/>
        <w:szCs w:val="24"/>
      </w:rPr>
      <w:fldChar w:fldCharType="end"/>
    </w:r>
    <w:r>
      <w:rPr>
        <w:rStyle w:val="7"/>
        <w:rFonts w:ascii="方正仿宋简体" w:eastAsia="方正仿宋简体"/>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82226"/>
    <w:multiLevelType w:val="singleLevel"/>
    <w:tmpl w:val="30E8222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576CE"/>
    <w:rsid w:val="61F576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after="120"/>
    </w:pPr>
    <w:rPr>
      <w:rFonts w:eastAsia="宋体"/>
      <w:kern w:val="2"/>
      <w:sz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2018-11-28T03:51:00Z</dcterms:created>
  <dc:creator>Go happy</dc:creator>
  <cp:lastModifiedBy>Go happy</cp:lastModifiedBy>
  <dcterms:modified xsi:type="dcterms:W3CDTF">2018-11-28T03:52:08Z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